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b w:val="0"/>
          <w:bCs w:val="0"/>
          <w:i w:val="0"/>
          <w:iCs w:val="0"/>
          <w:caps w:val="0"/>
          <w:color w:val="333333"/>
          <w:spacing w:val="0"/>
          <w:sz w:val="40"/>
          <w:szCs w:val="40"/>
        </w:rPr>
      </w:pPr>
      <w:bookmarkStart w:id="0" w:name="_GoBack"/>
      <w:r>
        <w:rPr>
          <w:rFonts w:hint="eastAsia" w:ascii="微软雅黑" w:hAnsi="微软雅黑" w:eastAsia="微软雅黑" w:cs="微软雅黑"/>
          <w:b w:val="0"/>
          <w:bCs w:val="0"/>
          <w:i w:val="0"/>
          <w:iCs w:val="0"/>
          <w:caps w:val="0"/>
          <w:color w:val="333333"/>
          <w:spacing w:val="0"/>
          <w:sz w:val="40"/>
          <w:szCs w:val="40"/>
          <w:bdr w:val="none" w:color="auto" w:sz="0" w:space="0"/>
          <w:shd w:val="clear" w:fill="FFFFFF"/>
        </w:rPr>
        <w:t>2018年绵阳市金融业概况</w:t>
      </w:r>
    </w:p>
    <w:bookmarkEnd w:id="0"/>
    <w:p>
      <w:pPr>
        <w:keepNext w:val="0"/>
        <w:keepLines w:val="0"/>
        <w:widowControl/>
        <w:suppressLineNumbers w:val="0"/>
        <w:pBdr>
          <w:top w:val="none" w:color="auto" w:sz="0" w:space="0"/>
          <w:left w:val="none" w:color="auto" w:sz="0" w:space="0"/>
          <w:bottom w:val="single" w:color="DBDEE1" w:sz="6" w:space="0"/>
          <w:right w:val="none" w:color="auto" w:sz="0" w:space="0"/>
        </w:pBdr>
        <w:shd w:val="clear" w:fill="FFFFFF"/>
        <w:spacing w:before="0" w:beforeAutospacing="0" w:after="0" w:afterAutospacing="0" w:line="510" w:lineRule="atLeast"/>
        <w:ind w:left="0" w:right="0" w:firstLine="0"/>
        <w:jc w:val="center"/>
        <w:rPr>
          <w:rFonts w:hint="eastAsia" w:ascii="微软雅黑" w:hAnsi="微软雅黑" w:eastAsia="微软雅黑" w:cs="微软雅黑"/>
          <w:i w:val="0"/>
          <w:iCs w:val="0"/>
          <w:caps w:val="0"/>
          <w:color w:val="666666"/>
          <w:spacing w:val="0"/>
          <w:sz w:val="18"/>
          <w:szCs w:val="18"/>
        </w:rPr>
      </w:pPr>
      <w:r>
        <w:rPr>
          <w:rFonts w:hint="eastAsia" w:ascii="微软雅黑" w:hAnsi="微软雅黑" w:eastAsia="微软雅黑" w:cs="微软雅黑"/>
          <w:i w:val="0"/>
          <w:iCs w:val="0"/>
          <w:caps w:val="0"/>
          <w:color w:val="666666"/>
          <w:spacing w:val="0"/>
          <w:kern w:val="0"/>
          <w:sz w:val="18"/>
          <w:szCs w:val="18"/>
          <w:bdr w:val="none" w:color="auto" w:sz="0" w:space="0"/>
          <w:shd w:val="clear" w:fill="FFFFFF"/>
          <w:lang w:val="en-US" w:eastAsia="zh-CN" w:bidi="ar"/>
        </w:rPr>
        <w:t>发布日期：2019-04-01 15:49 作者：caijinban  阅读：600 次 字体：</w:t>
      </w:r>
      <w:r>
        <w:rPr>
          <w:rFonts w:hint="eastAsia" w:ascii="微软雅黑" w:hAnsi="微软雅黑" w:eastAsia="微软雅黑" w:cs="微软雅黑"/>
          <w:i w:val="0"/>
          <w:iCs w:val="0"/>
          <w:caps w:val="0"/>
          <w:color w:val="666666"/>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666666"/>
          <w:spacing w:val="0"/>
          <w:kern w:val="0"/>
          <w:sz w:val="18"/>
          <w:szCs w:val="18"/>
          <w:u w:val="none"/>
          <w:bdr w:val="none" w:color="auto" w:sz="0" w:space="0"/>
          <w:shd w:val="clear" w:fill="FFFFFF"/>
          <w:lang w:val="en-US" w:eastAsia="zh-CN" w:bidi="ar"/>
        </w:rPr>
        <w:instrText xml:space="preserve"> HYPERLINK "http://jrj.my.gov.cn/tjsj/javascript:void(0);" </w:instrText>
      </w:r>
      <w:r>
        <w:rPr>
          <w:rFonts w:hint="eastAsia" w:ascii="微软雅黑" w:hAnsi="微软雅黑" w:eastAsia="微软雅黑" w:cs="微软雅黑"/>
          <w:i w:val="0"/>
          <w:iCs w:val="0"/>
          <w:caps w:val="0"/>
          <w:color w:val="666666"/>
          <w:spacing w:val="0"/>
          <w:kern w:val="0"/>
          <w:sz w:val="18"/>
          <w:szCs w:val="18"/>
          <w:u w:val="none"/>
          <w:bdr w:val="none" w:color="auto" w:sz="0" w:space="0"/>
          <w:shd w:val="clear" w:fill="FFFFFF"/>
          <w:lang w:val="en-US" w:eastAsia="zh-CN" w:bidi="ar"/>
        </w:rPr>
        <w:fldChar w:fldCharType="separate"/>
      </w:r>
      <w:r>
        <w:rPr>
          <w:rStyle w:val="6"/>
          <w:rFonts w:hint="eastAsia" w:ascii="微软雅黑" w:hAnsi="微软雅黑" w:eastAsia="微软雅黑" w:cs="微软雅黑"/>
          <w:i w:val="0"/>
          <w:iCs w:val="0"/>
          <w:caps w:val="0"/>
          <w:color w:val="666666"/>
          <w:spacing w:val="0"/>
          <w:sz w:val="18"/>
          <w:szCs w:val="18"/>
          <w:u w:val="none"/>
          <w:bdr w:val="none" w:color="auto" w:sz="0" w:space="0"/>
          <w:shd w:val="clear" w:fill="FFFFFF"/>
        </w:rPr>
        <w:t>[ 大 ]</w:t>
      </w:r>
      <w:r>
        <w:rPr>
          <w:rFonts w:hint="eastAsia" w:ascii="微软雅黑" w:hAnsi="微软雅黑" w:eastAsia="微软雅黑" w:cs="微软雅黑"/>
          <w:i w:val="0"/>
          <w:iCs w:val="0"/>
          <w:caps w:val="0"/>
          <w:color w:val="666666"/>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666666"/>
          <w:spacing w:val="0"/>
          <w:kern w:val="0"/>
          <w:sz w:val="18"/>
          <w:szCs w:val="18"/>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666666"/>
          <w:spacing w:val="0"/>
          <w:kern w:val="0"/>
          <w:sz w:val="18"/>
          <w:szCs w:val="18"/>
          <w:u w:val="none"/>
          <w:bdr w:val="none" w:color="auto" w:sz="0" w:space="0"/>
          <w:shd w:val="clear" w:fill="FFFFFF"/>
          <w:lang w:val="en-US" w:eastAsia="zh-CN" w:bidi="ar"/>
        </w:rPr>
        <w:instrText xml:space="preserve"> HYPERLINK "http://jrj.my.gov.cn/tjsj/javascript:void(0);" </w:instrText>
      </w:r>
      <w:r>
        <w:rPr>
          <w:rFonts w:hint="eastAsia" w:ascii="微软雅黑" w:hAnsi="微软雅黑" w:eastAsia="微软雅黑" w:cs="微软雅黑"/>
          <w:i w:val="0"/>
          <w:iCs w:val="0"/>
          <w:caps w:val="0"/>
          <w:color w:val="666666"/>
          <w:spacing w:val="0"/>
          <w:kern w:val="0"/>
          <w:sz w:val="18"/>
          <w:szCs w:val="18"/>
          <w:u w:val="none"/>
          <w:bdr w:val="none" w:color="auto" w:sz="0" w:space="0"/>
          <w:shd w:val="clear" w:fill="FFFFFF"/>
          <w:lang w:val="en-US" w:eastAsia="zh-CN" w:bidi="ar"/>
        </w:rPr>
        <w:fldChar w:fldCharType="separate"/>
      </w:r>
      <w:r>
        <w:rPr>
          <w:rStyle w:val="6"/>
          <w:rFonts w:hint="eastAsia" w:ascii="微软雅黑" w:hAnsi="微软雅黑" w:eastAsia="微软雅黑" w:cs="微软雅黑"/>
          <w:i w:val="0"/>
          <w:iCs w:val="0"/>
          <w:caps w:val="0"/>
          <w:color w:val="666666"/>
          <w:spacing w:val="0"/>
          <w:sz w:val="18"/>
          <w:szCs w:val="18"/>
          <w:u w:val="none"/>
          <w:bdr w:val="none" w:color="auto" w:sz="0" w:space="0"/>
          <w:shd w:val="clear" w:fill="FFFFFF"/>
        </w:rPr>
        <w:t>[ 中 ]</w:t>
      </w:r>
      <w:r>
        <w:rPr>
          <w:rFonts w:hint="eastAsia" w:ascii="微软雅黑" w:hAnsi="微软雅黑" w:eastAsia="微软雅黑" w:cs="微软雅黑"/>
          <w:i w:val="0"/>
          <w:iCs w:val="0"/>
          <w:caps w:val="0"/>
          <w:color w:val="666666"/>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666666"/>
          <w:spacing w:val="0"/>
          <w:kern w:val="0"/>
          <w:sz w:val="18"/>
          <w:szCs w:val="18"/>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666666"/>
          <w:spacing w:val="0"/>
          <w:kern w:val="0"/>
          <w:sz w:val="18"/>
          <w:szCs w:val="18"/>
          <w:u w:val="none"/>
          <w:bdr w:val="none" w:color="auto" w:sz="0" w:space="0"/>
          <w:shd w:val="clear" w:fill="FFFFFF"/>
          <w:lang w:val="en-US" w:eastAsia="zh-CN" w:bidi="ar"/>
        </w:rPr>
        <w:instrText xml:space="preserve"> HYPERLINK "http://jrj.my.gov.cn/tjsj/javascript:void(0);" </w:instrText>
      </w:r>
      <w:r>
        <w:rPr>
          <w:rFonts w:hint="eastAsia" w:ascii="微软雅黑" w:hAnsi="微软雅黑" w:eastAsia="微软雅黑" w:cs="微软雅黑"/>
          <w:i w:val="0"/>
          <w:iCs w:val="0"/>
          <w:caps w:val="0"/>
          <w:color w:val="666666"/>
          <w:spacing w:val="0"/>
          <w:kern w:val="0"/>
          <w:sz w:val="18"/>
          <w:szCs w:val="18"/>
          <w:u w:val="none"/>
          <w:bdr w:val="none" w:color="auto" w:sz="0" w:space="0"/>
          <w:shd w:val="clear" w:fill="FFFFFF"/>
          <w:lang w:val="en-US" w:eastAsia="zh-CN" w:bidi="ar"/>
        </w:rPr>
        <w:fldChar w:fldCharType="separate"/>
      </w:r>
      <w:r>
        <w:rPr>
          <w:rStyle w:val="6"/>
          <w:rFonts w:hint="eastAsia" w:ascii="微软雅黑" w:hAnsi="微软雅黑" w:eastAsia="微软雅黑" w:cs="微软雅黑"/>
          <w:i w:val="0"/>
          <w:iCs w:val="0"/>
          <w:caps w:val="0"/>
          <w:color w:val="666666"/>
          <w:spacing w:val="0"/>
          <w:sz w:val="18"/>
          <w:szCs w:val="18"/>
          <w:u w:val="none"/>
          <w:bdr w:val="none" w:color="auto" w:sz="0" w:space="0"/>
          <w:shd w:val="clear" w:fill="FFFFFF"/>
        </w:rPr>
        <w:t>[ 小 ]</w:t>
      </w:r>
      <w:r>
        <w:rPr>
          <w:rFonts w:hint="eastAsia" w:ascii="微软雅黑" w:hAnsi="微软雅黑" w:eastAsia="微软雅黑" w:cs="微软雅黑"/>
          <w:i w:val="0"/>
          <w:iCs w:val="0"/>
          <w:caps w:val="0"/>
          <w:color w:val="666666"/>
          <w:spacing w:val="0"/>
          <w:kern w:val="0"/>
          <w:sz w:val="18"/>
          <w:szCs w:val="18"/>
          <w:u w:val="none"/>
          <w:bdr w:val="none" w:color="auto" w:sz="0" w:space="0"/>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pPr>
      <w:r>
        <w:rPr>
          <w:rFonts w:ascii="仿宋_GB2312" w:hAnsi="微软雅黑" w:eastAsia="仿宋_GB2312" w:cs="仿宋_GB2312"/>
          <w:i w:val="0"/>
          <w:iCs w:val="0"/>
          <w:caps w:val="0"/>
          <w:color w:val="333333"/>
          <w:spacing w:val="0"/>
          <w:sz w:val="32"/>
          <w:szCs w:val="32"/>
          <w:bdr w:val="none" w:color="auto" w:sz="0" w:space="0"/>
          <w:shd w:val="clear" w:fill="FFFFFF"/>
        </w:rPr>
        <w:t>截至</w:t>
      </w:r>
      <w:r>
        <w:rPr>
          <w:rFonts w:hint="default" w:ascii="仿宋_GB2312" w:hAnsi="微软雅黑" w:eastAsia="仿宋_GB2312" w:cs="仿宋_GB2312"/>
          <w:i w:val="0"/>
          <w:iCs w:val="0"/>
          <w:caps w:val="0"/>
          <w:color w:val="333333"/>
          <w:spacing w:val="0"/>
          <w:sz w:val="32"/>
          <w:szCs w:val="32"/>
          <w:bdr w:val="none" w:color="auto" w:sz="0" w:space="0"/>
          <w:shd w:val="clear" w:fill="FFFFFF"/>
        </w:rPr>
        <w:t>2018年末，辖内银行业本外币存款余额3860.39亿元，比年初增加251.46亿元，同比增长6.97%；贷款余额2173.71亿元，比年初增加306.68亿元，同比增长16.43％；银行业存贷款规模位居全省第二位。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pPr>
      <w:r>
        <w:rPr>
          <w:rFonts w:hint="default" w:ascii="仿宋_GB2312" w:hAnsi="微软雅黑" w:eastAsia="仿宋_GB2312" w:cs="仿宋_GB2312"/>
          <w:i w:val="0"/>
          <w:iCs w:val="0"/>
          <w:caps w:val="0"/>
          <w:color w:val="333333"/>
          <w:spacing w:val="0"/>
          <w:sz w:val="32"/>
          <w:szCs w:val="32"/>
          <w:bdr w:val="none" w:color="auto" w:sz="0" w:space="0"/>
          <w:shd w:val="clear" w:fill="FFFFFF"/>
        </w:rPr>
        <w:t>新增保费收入117.18亿元，同比增长4.55%，保费规模居全省第二位。其中：财险保费收入29.55亿元, 同比增长0.4%；寿险保费收入87.63亿元,同比增长6.03%；保险赔款和给付36.27亿元，同比增长5.77%。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pPr>
      <w:r>
        <w:rPr>
          <w:rFonts w:hint="default" w:ascii="仿宋_GB2312" w:hAnsi="微软雅黑" w:eastAsia="仿宋_GB2312" w:cs="仿宋_GB2312"/>
          <w:i w:val="0"/>
          <w:iCs w:val="0"/>
          <w:caps w:val="0"/>
          <w:color w:val="333333"/>
          <w:spacing w:val="0"/>
          <w:sz w:val="32"/>
          <w:szCs w:val="32"/>
          <w:bdr w:val="none" w:color="auto" w:sz="0" w:space="0"/>
          <w:shd w:val="clear" w:fill="FFFFFF"/>
        </w:rPr>
        <w:t>开展经营的小额贷款公司共20家，全年发放贷款10.14亿元，贷款余额25.43亿元，贷款户数1587户。融资担保公司共42家，提供担保贷款40.59亿元，在保余额79.04亿元，担保户数12053户。其中:政策性在保余额2.36亿元，商业性在保余额76.68亿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pPr>
      <w:r>
        <w:rPr>
          <w:rFonts w:hint="default" w:ascii="仿宋_GB2312" w:hAnsi="微软雅黑" w:eastAsia="仿宋_GB2312" w:cs="仿宋_GB2312"/>
          <w:i w:val="0"/>
          <w:iCs w:val="0"/>
          <w:caps w:val="0"/>
          <w:color w:val="333333"/>
          <w:spacing w:val="0"/>
          <w:sz w:val="32"/>
          <w:szCs w:val="32"/>
          <w:bdr w:val="none" w:color="auto" w:sz="0" w:space="0"/>
          <w:shd w:val="clear" w:fill="FFFFFF"/>
        </w:rPr>
        <w:t>新设江油太白支行、成都武侯支行2家城商行分支机构，引进中银三星人寿、英大泰和人寿、国宝人寿3家金融机构。建立了上市后备企业资源库和上市服务中介及投资咨询顾问机构资源库，其中：上市后备企业资源库入库企业达111家，上市服务中介及投资咨询顾问机构资源库入库企业达52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990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2021-06-04T08:16:20Z</dcterms:created>
  <dc:creator>Administrator</dc:creator>
  <cp:lastModifiedBy>何林根</cp:lastModifiedBy>
  <dcterms:modified xsi:type="dcterms:W3CDTF">2021-06-04T08:16:40Z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0C0BF5E4B1B84821BAD2BF4B2A8CDED9</vt:lpwstr>
  </property>
</Properties>
</file>